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2CE6" w14:textId="18C7A6C0" w:rsidR="009E0570" w:rsidRDefault="00000000">
      <w:pPr>
        <w:spacing w:after="0" w:line="239" w:lineRule="auto"/>
        <w:ind w:left="29" w:firstLine="0"/>
        <w:jc w:val="left"/>
      </w:pPr>
      <w:r>
        <w:rPr>
          <w:b/>
          <w:sz w:val="36"/>
          <w:u w:val="single" w:color="000000"/>
        </w:rPr>
        <w:t>Soukromá střední škola podnikatelská – ALTMAN, s.r.o.</w:t>
      </w:r>
      <w:r>
        <w:rPr>
          <w:b/>
          <w:sz w:val="36"/>
        </w:rPr>
        <w:t xml:space="preserve"> </w:t>
      </w:r>
      <w:r>
        <w:rPr>
          <w:rFonts w:ascii="Times New Roman" w:eastAsia="Times New Roman" w:hAnsi="Times New Roman" w:cs="Times New Roman"/>
        </w:rPr>
        <w:t xml:space="preserve"> </w:t>
      </w:r>
      <w:r>
        <w:rPr>
          <w:b/>
          <w:color w:val="00B050"/>
          <w:sz w:val="44"/>
        </w:rPr>
        <w:t xml:space="preserve">INFORMACE K PŘIJÍMACÍMU ŘÍZENÍ – </w:t>
      </w:r>
      <w:r w:rsidR="008274E7">
        <w:rPr>
          <w:b/>
          <w:color w:val="FF0000"/>
          <w:sz w:val="44"/>
        </w:rPr>
        <w:t>2</w:t>
      </w:r>
      <w:r>
        <w:rPr>
          <w:b/>
          <w:color w:val="FF0000"/>
          <w:sz w:val="44"/>
        </w:rPr>
        <w:t xml:space="preserve">. kolo </w:t>
      </w:r>
      <w:r>
        <w:t xml:space="preserve"> </w:t>
      </w:r>
    </w:p>
    <w:p w14:paraId="05FF4827" w14:textId="77777777" w:rsidR="009E0570" w:rsidRDefault="00000000">
      <w:pPr>
        <w:pStyle w:val="Nadpis1"/>
        <w:ind w:left="9" w:hanging="10"/>
      </w:pPr>
      <w:r>
        <w:rPr>
          <w:sz w:val="28"/>
          <w:u w:val="single" w:color="00B050"/>
        </w:rPr>
        <w:t>do 1. ročníku ve školním roce 2026/2027</w:t>
      </w:r>
      <w:r>
        <w:t xml:space="preserve"> </w:t>
      </w:r>
    </w:p>
    <w:p w14:paraId="2D7FB66B" w14:textId="77777777" w:rsidR="009E0570" w:rsidRDefault="00000000">
      <w:pPr>
        <w:spacing w:after="221" w:line="259" w:lineRule="auto"/>
        <w:ind w:left="14" w:firstLine="0"/>
        <w:jc w:val="left"/>
      </w:pPr>
      <w:r>
        <w:t xml:space="preserve">  </w:t>
      </w:r>
    </w:p>
    <w:p w14:paraId="1785EDD5" w14:textId="77777777" w:rsidR="009E0570" w:rsidRDefault="00000000">
      <w:pPr>
        <w:spacing w:after="306" w:line="257" w:lineRule="auto"/>
        <w:jc w:val="left"/>
      </w:pPr>
      <w:r>
        <w:t xml:space="preserve">Přijímací řízení se řídí zákonem č. 561/2004 Sb. §60 až 62, 64, 83, 85 (Školský zákon) a Vyhláškou o přijímacím ke střednímu vzdělávání č. 353/2016 Sb. a rozhodnutím ředitelky školy.   </w:t>
      </w:r>
    </w:p>
    <w:p w14:paraId="0801B862" w14:textId="77777777" w:rsidR="009E0570" w:rsidRDefault="00000000">
      <w:pPr>
        <w:spacing w:after="221" w:line="259" w:lineRule="auto"/>
        <w:ind w:left="9"/>
        <w:jc w:val="left"/>
      </w:pPr>
      <w:r>
        <w:rPr>
          <w:b/>
          <w:color w:val="00B050"/>
          <w:sz w:val="28"/>
          <w:u w:val="single" w:color="00B050"/>
        </w:rPr>
        <w:t>Informace pro vyplnění přihlášky:</w:t>
      </w:r>
      <w:r>
        <w:rPr>
          <w:b/>
          <w:color w:val="00B050"/>
          <w:sz w:val="28"/>
        </w:rPr>
        <w:t xml:space="preserve"> </w:t>
      </w:r>
      <w:r>
        <w:t xml:space="preserve"> </w:t>
      </w:r>
    </w:p>
    <w:p w14:paraId="450B3D53" w14:textId="77777777" w:rsidR="009E0570" w:rsidRDefault="00000000">
      <w:pPr>
        <w:spacing w:after="0" w:line="259" w:lineRule="auto"/>
        <w:ind w:left="-5"/>
        <w:jc w:val="left"/>
      </w:pPr>
      <w:r>
        <w:rPr>
          <w:b/>
          <w:sz w:val="28"/>
        </w:rPr>
        <w:t xml:space="preserve">Název školy: Soukromá střední škola podnikatelská – ALTMAN, </w:t>
      </w:r>
      <w:proofErr w:type="gramStart"/>
      <w:r>
        <w:rPr>
          <w:b/>
          <w:sz w:val="28"/>
        </w:rPr>
        <w:t>s .</w:t>
      </w:r>
      <w:proofErr w:type="gramEnd"/>
      <w:r>
        <w:rPr>
          <w:b/>
          <w:sz w:val="28"/>
        </w:rPr>
        <w:t xml:space="preserve">r.o. </w:t>
      </w:r>
      <w:r>
        <w:t xml:space="preserve"> </w:t>
      </w:r>
    </w:p>
    <w:p w14:paraId="5B3C7C0E" w14:textId="77777777" w:rsidR="009E0570" w:rsidRDefault="00000000">
      <w:pPr>
        <w:spacing w:after="0" w:line="259" w:lineRule="auto"/>
        <w:ind w:left="-5"/>
        <w:jc w:val="left"/>
      </w:pPr>
      <w:r>
        <w:rPr>
          <w:b/>
          <w:sz w:val="28"/>
        </w:rPr>
        <w:t xml:space="preserve">Adresa školy: Na Tobolce 389, 506 </w:t>
      </w:r>
      <w:proofErr w:type="gramStart"/>
      <w:r>
        <w:rPr>
          <w:b/>
          <w:sz w:val="28"/>
        </w:rPr>
        <w:t>01  Jičín</w:t>
      </w:r>
      <w:proofErr w:type="gramEnd"/>
      <w:r>
        <w:rPr>
          <w:b/>
          <w:sz w:val="28"/>
        </w:rPr>
        <w:t xml:space="preserve"> </w:t>
      </w:r>
      <w:r>
        <w:t xml:space="preserve"> </w:t>
      </w:r>
    </w:p>
    <w:p w14:paraId="3A701C4C" w14:textId="77777777" w:rsidR="009E0570" w:rsidRDefault="00000000">
      <w:pPr>
        <w:spacing w:after="0" w:line="259" w:lineRule="auto"/>
        <w:ind w:left="-5"/>
        <w:jc w:val="left"/>
      </w:pPr>
      <w:r>
        <w:rPr>
          <w:b/>
          <w:sz w:val="28"/>
        </w:rPr>
        <w:t xml:space="preserve">IZO školy: 600012093 </w:t>
      </w:r>
      <w:r>
        <w:t xml:space="preserve"> </w:t>
      </w:r>
    </w:p>
    <w:p w14:paraId="79FA6912" w14:textId="77777777" w:rsidR="009E0570" w:rsidRDefault="00000000">
      <w:pPr>
        <w:spacing w:after="0" w:line="259" w:lineRule="auto"/>
        <w:ind w:left="-5"/>
        <w:jc w:val="left"/>
      </w:pPr>
      <w:r>
        <w:rPr>
          <w:b/>
          <w:sz w:val="28"/>
        </w:rPr>
        <w:t xml:space="preserve">Obor: 63-41-M/01 Ekonomika a podnikání </w:t>
      </w:r>
      <w:proofErr w:type="gramStart"/>
      <w:r>
        <w:rPr>
          <w:b/>
          <w:sz w:val="28"/>
        </w:rPr>
        <w:t xml:space="preserve">   (</w:t>
      </w:r>
      <w:proofErr w:type="gramEnd"/>
      <w:r>
        <w:rPr>
          <w:b/>
          <w:sz w:val="28"/>
        </w:rPr>
        <w:t>denní forma)</w:t>
      </w:r>
      <w:r>
        <w:t xml:space="preserve"> </w:t>
      </w:r>
    </w:p>
    <w:p w14:paraId="169DD319" w14:textId="77777777" w:rsidR="009E0570" w:rsidRDefault="00000000">
      <w:pPr>
        <w:spacing w:after="302"/>
        <w:ind w:left="9" w:right="24"/>
      </w:pPr>
      <w:r>
        <w:t xml:space="preserve">Na jednotlivá </w:t>
      </w:r>
      <w:proofErr w:type="gramStart"/>
      <w:r>
        <w:t>zaměření - ŠVP</w:t>
      </w:r>
      <w:proofErr w:type="gramEnd"/>
      <w:r>
        <w:t xml:space="preserve"> (právní management, firemní management, management cestovního ruchu, finanční management) se dělí žáci až od 3. ročníku, tudíž není nutné nyní konkretizovat zaměření na přihlášce.  </w:t>
      </w:r>
    </w:p>
    <w:p w14:paraId="3FB82DCA" w14:textId="32D8CED1" w:rsidR="009E0570" w:rsidRDefault="00000000">
      <w:pPr>
        <w:spacing w:after="0" w:line="259" w:lineRule="auto"/>
        <w:ind w:left="-5"/>
        <w:jc w:val="left"/>
      </w:pPr>
      <w:r>
        <w:rPr>
          <w:b/>
          <w:sz w:val="28"/>
        </w:rPr>
        <w:t>Počet přijímaných uchazečů:</w:t>
      </w:r>
      <w:r w:rsidR="008274E7">
        <w:rPr>
          <w:b/>
          <w:sz w:val="28"/>
        </w:rPr>
        <w:t xml:space="preserve"> </w:t>
      </w:r>
      <w:r w:rsidR="008274E7" w:rsidRPr="008274E7">
        <w:rPr>
          <w:b/>
          <w:color w:val="EE0000"/>
          <w:sz w:val="28"/>
        </w:rPr>
        <w:t>8</w:t>
      </w:r>
      <w:r w:rsidRPr="008274E7">
        <w:rPr>
          <w:b/>
          <w:color w:val="EE0000"/>
        </w:rPr>
        <w:t xml:space="preserve"> </w:t>
      </w:r>
    </w:p>
    <w:p w14:paraId="17C171B5" w14:textId="7E552B00" w:rsidR="009E0570" w:rsidRDefault="00000000">
      <w:pPr>
        <w:spacing w:after="0" w:line="259" w:lineRule="auto"/>
        <w:ind w:left="-5"/>
        <w:jc w:val="left"/>
      </w:pPr>
      <w:r>
        <w:rPr>
          <w:b/>
          <w:sz w:val="28"/>
        </w:rPr>
        <w:t xml:space="preserve">Ukončení podávání přihlášek: </w:t>
      </w:r>
      <w:r w:rsidR="000F7B06">
        <w:rPr>
          <w:b/>
          <w:sz w:val="28"/>
        </w:rPr>
        <w:t>25</w:t>
      </w:r>
      <w:r>
        <w:rPr>
          <w:b/>
          <w:sz w:val="28"/>
        </w:rPr>
        <w:t xml:space="preserve">. </w:t>
      </w:r>
      <w:r w:rsidR="000F7B06">
        <w:rPr>
          <w:b/>
          <w:sz w:val="28"/>
        </w:rPr>
        <w:t>května</w:t>
      </w:r>
      <w:r>
        <w:rPr>
          <w:b/>
          <w:sz w:val="28"/>
        </w:rPr>
        <w:t xml:space="preserve"> 2026</w:t>
      </w:r>
      <w:r>
        <w:t xml:space="preserve"> </w:t>
      </w:r>
    </w:p>
    <w:p w14:paraId="7333DFA1" w14:textId="77777777" w:rsidR="009E0570" w:rsidRDefault="00000000">
      <w:pPr>
        <w:spacing w:after="212" w:line="259" w:lineRule="auto"/>
        <w:ind w:left="14" w:firstLine="0"/>
        <w:jc w:val="left"/>
      </w:pPr>
      <w:r>
        <w:rPr>
          <w:b/>
          <w:sz w:val="28"/>
        </w:rPr>
        <w:t xml:space="preserve"> </w:t>
      </w:r>
      <w:r>
        <w:t xml:space="preserve"> </w:t>
      </w:r>
    </w:p>
    <w:p w14:paraId="28170A24" w14:textId="77777777" w:rsidR="009E0570" w:rsidRDefault="00000000">
      <w:pPr>
        <w:pStyle w:val="Nadpis1"/>
      </w:pPr>
      <w:r>
        <w:t>KRITÉRIA PŘIJÍMACÍHO ŘÍZENÍ</w:t>
      </w:r>
      <w:r>
        <w:rPr>
          <w:rFonts w:ascii="Times New Roman" w:eastAsia="Times New Roman" w:hAnsi="Times New Roman" w:cs="Times New Roman"/>
          <w:b w:val="0"/>
          <w:color w:val="000000"/>
          <w:sz w:val="24"/>
        </w:rPr>
        <w:t xml:space="preserve"> </w:t>
      </w:r>
      <w:r>
        <w:t xml:space="preserve"> </w:t>
      </w:r>
    </w:p>
    <w:p w14:paraId="16ECDB3A" w14:textId="77777777" w:rsidR="009E0570" w:rsidRDefault="00000000">
      <w:pPr>
        <w:spacing w:after="193"/>
        <w:ind w:left="9" w:right="24"/>
      </w:pPr>
      <w:r>
        <w:t xml:space="preserve">Ke vzdělávání ve střední škole lze přijmout uchazeče, kteří splnili povinnou školní docházku nebo úspěšně ukončili základní vzdělávání před splněním povinné školní docházky, pokud tento zákon nestanoví jinak.   </w:t>
      </w:r>
    </w:p>
    <w:p w14:paraId="17A2F2E0" w14:textId="77777777" w:rsidR="009E0570" w:rsidRDefault="00000000">
      <w:pPr>
        <w:spacing w:after="262"/>
        <w:ind w:left="9" w:right="24"/>
      </w:pPr>
      <w:r>
        <w:t xml:space="preserve">Ředitelka školy bude přijímat uchazeče do oboru do naplnění kapacity na základě výsledků přijímacího řízení, které se skládá z   </w:t>
      </w:r>
    </w:p>
    <w:p w14:paraId="614C34B2" w14:textId="77777777" w:rsidR="009E0570" w:rsidRDefault="00000000">
      <w:pPr>
        <w:numPr>
          <w:ilvl w:val="0"/>
          <w:numId w:val="1"/>
        </w:numPr>
        <w:spacing w:after="69"/>
        <w:ind w:right="24" w:hanging="696"/>
      </w:pPr>
      <w:r>
        <w:t xml:space="preserve">prospěch na vysvědčeních z předchozího vzdělávání    </w:t>
      </w:r>
    </w:p>
    <w:p w14:paraId="438E68C8" w14:textId="77777777" w:rsidR="009E0570" w:rsidRDefault="00000000">
      <w:pPr>
        <w:numPr>
          <w:ilvl w:val="0"/>
          <w:numId w:val="1"/>
        </w:numPr>
        <w:spacing w:after="154"/>
        <w:ind w:right="24" w:hanging="696"/>
      </w:pPr>
      <w:r>
        <w:t xml:space="preserve">výsledků jednotné (státní) přijímací zkoušky z 1. kola  </w:t>
      </w:r>
    </w:p>
    <w:p w14:paraId="49568B82" w14:textId="77777777" w:rsidR="009E0570" w:rsidRDefault="00000000">
      <w:pPr>
        <w:pStyle w:val="Nadpis2"/>
        <w:spacing w:after="192"/>
        <w:ind w:left="-5"/>
      </w:pPr>
      <w:r>
        <w:t xml:space="preserve">Hodnocení na vysvědčení z předchozího vzdělávání (HOD)   </w:t>
      </w:r>
    </w:p>
    <w:p w14:paraId="1832E5AD" w14:textId="77777777" w:rsidR="009E0570" w:rsidRDefault="00000000">
      <w:pPr>
        <w:ind w:left="9" w:right="24"/>
      </w:pPr>
      <w:r>
        <w:t xml:space="preserve">Uchazeči jsou započítávány výsledky z </w:t>
      </w:r>
      <w:proofErr w:type="gramStart"/>
      <w:r>
        <w:t>posledních  2</w:t>
      </w:r>
      <w:proofErr w:type="gramEnd"/>
      <w:r>
        <w:t xml:space="preserve"> ročníků, tj. 3 pololetí. Započítávají se výsledky z českého jazyka a literatury, matematiky a z jednoho cizího jazyka. V případě dvou cizích jazyků, se započítává vždy ten lepší výsledek. Dále se započítává průměr z posledního pololetí. Maximálně lze dosáhnout 166 bodů. Prospěch žáka se podílí na celkovém výsledku </w:t>
      </w:r>
      <w:proofErr w:type="gramStart"/>
      <w:r>
        <w:t>40%</w:t>
      </w:r>
      <w:proofErr w:type="gramEnd"/>
      <w:r>
        <w:t xml:space="preserve">. Výsledky vzdělávání za 2. pololetí 2019/2020 se dle Nařízení MŠMT ČR nezapočítává.   </w:t>
      </w:r>
    </w:p>
    <w:p w14:paraId="73A1E374" w14:textId="77777777" w:rsidR="009E0570" w:rsidRDefault="00000000">
      <w:pPr>
        <w:spacing w:after="0" w:line="259" w:lineRule="auto"/>
        <w:ind w:left="29" w:firstLine="0"/>
        <w:jc w:val="left"/>
      </w:pPr>
      <w:r>
        <w:t xml:space="preserve">   </w:t>
      </w:r>
    </w:p>
    <w:tbl>
      <w:tblPr>
        <w:tblStyle w:val="TableGrid"/>
        <w:tblW w:w="9221" w:type="dxa"/>
        <w:tblInd w:w="49" w:type="dxa"/>
        <w:tblCellMar>
          <w:top w:w="89" w:type="dxa"/>
          <w:left w:w="0" w:type="dxa"/>
          <w:bottom w:w="0" w:type="dxa"/>
          <w:right w:w="21" w:type="dxa"/>
        </w:tblCellMar>
        <w:tblLook w:val="04A0" w:firstRow="1" w:lastRow="0" w:firstColumn="1" w:lastColumn="0" w:noHBand="0" w:noVBand="1"/>
      </w:tblPr>
      <w:tblGrid>
        <w:gridCol w:w="3955"/>
        <w:gridCol w:w="1001"/>
        <w:gridCol w:w="994"/>
        <w:gridCol w:w="994"/>
        <w:gridCol w:w="1013"/>
        <w:gridCol w:w="1264"/>
      </w:tblGrid>
      <w:tr w:rsidR="009E0570" w14:paraId="2F20849A" w14:textId="77777777">
        <w:trPr>
          <w:trHeight w:val="402"/>
        </w:trPr>
        <w:tc>
          <w:tcPr>
            <w:tcW w:w="3956" w:type="dxa"/>
            <w:tcBorders>
              <w:top w:val="single" w:sz="4" w:space="0" w:color="000000"/>
              <w:left w:val="single" w:sz="4" w:space="0" w:color="000000"/>
              <w:bottom w:val="single" w:sz="4" w:space="0" w:color="000000"/>
              <w:right w:val="single" w:sz="4" w:space="0" w:color="000000"/>
            </w:tcBorders>
            <w:shd w:val="clear" w:color="auto" w:fill="F4B083"/>
          </w:tcPr>
          <w:p w14:paraId="249FCF88" w14:textId="77777777" w:rsidR="009E0570" w:rsidRDefault="00000000">
            <w:pPr>
              <w:tabs>
                <w:tab w:val="center" w:pos="3825"/>
              </w:tabs>
              <w:spacing w:after="0" w:line="259" w:lineRule="auto"/>
              <w:ind w:left="0" w:firstLine="0"/>
              <w:jc w:val="left"/>
            </w:pPr>
            <w:r>
              <w:t xml:space="preserve">Hodnocení předmětu    </w:t>
            </w:r>
            <w:r>
              <w:tab/>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F4B083"/>
          </w:tcPr>
          <w:p w14:paraId="21E94796" w14:textId="77777777" w:rsidR="009E0570" w:rsidRDefault="00000000">
            <w:pPr>
              <w:spacing w:after="0" w:line="259" w:lineRule="auto"/>
              <w:ind w:left="23" w:firstLine="0"/>
              <w:jc w:val="center"/>
            </w:pPr>
            <w:r>
              <w:t xml:space="preserve">1   </w:t>
            </w:r>
          </w:p>
        </w:tc>
        <w:tc>
          <w:tcPr>
            <w:tcW w:w="994" w:type="dxa"/>
            <w:tcBorders>
              <w:top w:val="single" w:sz="4" w:space="0" w:color="000000"/>
              <w:left w:val="single" w:sz="4" w:space="0" w:color="000000"/>
              <w:bottom w:val="single" w:sz="4" w:space="0" w:color="000000"/>
              <w:right w:val="single" w:sz="4" w:space="0" w:color="000000"/>
            </w:tcBorders>
            <w:shd w:val="clear" w:color="auto" w:fill="F4B083"/>
          </w:tcPr>
          <w:p w14:paraId="0D6BFB4B" w14:textId="77777777" w:rsidR="009E0570" w:rsidRDefault="00000000">
            <w:pPr>
              <w:tabs>
                <w:tab w:val="center" w:pos="497"/>
              </w:tabs>
              <w:spacing w:after="0" w:line="259" w:lineRule="auto"/>
              <w:ind w:left="0" w:firstLine="0"/>
              <w:jc w:val="left"/>
            </w:pPr>
            <w:r>
              <w:t xml:space="preserve">  </w:t>
            </w:r>
            <w:r>
              <w:tab/>
              <w:t xml:space="preserve">2   </w:t>
            </w:r>
          </w:p>
        </w:tc>
        <w:tc>
          <w:tcPr>
            <w:tcW w:w="994" w:type="dxa"/>
            <w:tcBorders>
              <w:top w:val="single" w:sz="4" w:space="0" w:color="000000"/>
              <w:left w:val="single" w:sz="4" w:space="0" w:color="000000"/>
              <w:bottom w:val="single" w:sz="4" w:space="0" w:color="000000"/>
              <w:right w:val="single" w:sz="4" w:space="0" w:color="000000"/>
            </w:tcBorders>
            <w:shd w:val="clear" w:color="auto" w:fill="F4B083"/>
          </w:tcPr>
          <w:p w14:paraId="02942FC3" w14:textId="77777777" w:rsidR="009E0570" w:rsidRDefault="00000000">
            <w:pPr>
              <w:tabs>
                <w:tab w:val="center" w:pos="499"/>
              </w:tabs>
              <w:spacing w:after="0" w:line="259" w:lineRule="auto"/>
              <w:ind w:left="0" w:firstLine="0"/>
              <w:jc w:val="left"/>
            </w:pPr>
            <w:r>
              <w:t xml:space="preserve">  </w:t>
            </w:r>
            <w:r>
              <w:tab/>
              <w:t xml:space="preserve">3   </w:t>
            </w:r>
          </w:p>
        </w:tc>
        <w:tc>
          <w:tcPr>
            <w:tcW w:w="1013" w:type="dxa"/>
            <w:tcBorders>
              <w:top w:val="single" w:sz="4" w:space="0" w:color="000000"/>
              <w:left w:val="single" w:sz="4" w:space="0" w:color="000000"/>
              <w:bottom w:val="single" w:sz="4" w:space="0" w:color="000000"/>
              <w:right w:val="single" w:sz="4" w:space="0" w:color="000000"/>
            </w:tcBorders>
            <w:shd w:val="clear" w:color="auto" w:fill="F4B083"/>
          </w:tcPr>
          <w:p w14:paraId="09F8F235" w14:textId="77777777" w:rsidR="009E0570" w:rsidRDefault="00000000">
            <w:pPr>
              <w:spacing w:after="0" w:line="259" w:lineRule="auto"/>
              <w:ind w:left="150" w:firstLine="0"/>
              <w:jc w:val="center"/>
            </w:pPr>
            <w:r>
              <w:t xml:space="preserve">4   </w:t>
            </w:r>
          </w:p>
        </w:tc>
        <w:tc>
          <w:tcPr>
            <w:tcW w:w="1264" w:type="dxa"/>
            <w:tcBorders>
              <w:top w:val="single" w:sz="4" w:space="0" w:color="000000"/>
              <w:left w:val="single" w:sz="4" w:space="0" w:color="000000"/>
              <w:bottom w:val="single" w:sz="4" w:space="0" w:color="000000"/>
              <w:right w:val="single" w:sz="4" w:space="0" w:color="000000"/>
            </w:tcBorders>
            <w:shd w:val="clear" w:color="auto" w:fill="F4B083"/>
          </w:tcPr>
          <w:p w14:paraId="2E708EBC" w14:textId="77777777" w:rsidR="009E0570" w:rsidRDefault="00000000">
            <w:pPr>
              <w:tabs>
                <w:tab w:val="center" w:pos="636"/>
              </w:tabs>
              <w:spacing w:after="0" w:line="259" w:lineRule="auto"/>
              <w:ind w:left="-18" w:firstLine="0"/>
              <w:jc w:val="left"/>
            </w:pPr>
            <w:r>
              <w:t xml:space="preserve">  </w:t>
            </w:r>
            <w:r>
              <w:tab/>
              <w:t xml:space="preserve">5   </w:t>
            </w:r>
          </w:p>
        </w:tc>
      </w:tr>
      <w:tr w:rsidR="009E0570" w14:paraId="7AB879ED" w14:textId="77777777">
        <w:trPr>
          <w:trHeight w:val="360"/>
        </w:trPr>
        <w:tc>
          <w:tcPr>
            <w:tcW w:w="3956" w:type="dxa"/>
            <w:tcBorders>
              <w:top w:val="single" w:sz="4" w:space="0" w:color="000000"/>
              <w:left w:val="single" w:sz="4" w:space="0" w:color="000000"/>
              <w:bottom w:val="single" w:sz="4" w:space="0" w:color="000000"/>
              <w:right w:val="single" w:sz="4" w:space="0" w:color="000000"/>
            </w:tcBorders>
            <w:shd w:val="clear" w:color="auto" w:fill="C5E0B3"/>
          </w:tcPr>
          <w:p w14:paraId="0D8BC906" w14:textId="77777777" w:rsidR="009E0570" w:rsidRDefault="00000000">
            <w:pPr>
              <w:tabs>
                <w:tab w:val="center" w:pos="2401"/>
                <w:tab w:val="center" w:pos="3825"/>
              </w:tabs>
              <w:spacing w:after="0" w:line="259" w:lineRule="auto"/>
              <w:ind w:left="0" w:firstLine="0"/>
              <w:jc w:val="left"/>
            </w:pPr>
            <w:r>
              <w:t xml:space="preserve">Bodové hodnocení   </w:t>
            </w:r>
            <w:proofErr w:type="gramStart"/>
            <w:r>
              <w:tab/>
              <w:t xml:space="preserve">  </w:t>
            </w:r>
            <w:r>
              <w:tab/>
            </w:r>
            <w:proofErr w:type="gramEnd"/>
            <w: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46ABA86F" w14:textId="77777777" w:rsidR="009E0570" w:rsidRDefault="00000000">
            <w:pPr>
              <w:spacing w:after="0" w:line="259" w:lineRule="auto"/>
              <w:ind w:left="23" w:firstLine="0"/>
              <w:jc w:val="center"/>
            </w:pPr>
            <w:r>
              <w:t xml:space="preserve">6  </w:t>
            </w:r>
          </w:p>
        </w:tc>
        <w:tc>
          <w:tcPr>
            <w:tcW w:w="994" w:type="dxa"/>
            <w:tcBorders>
              <w:top w:val="single" w:sz="4" w:space="0" w:color="000000"/>
              <w:left w:val="single" w:sz="4" w:space="0" w:color="000000"/>
              <w:bottom w:val="single" w:sz="4" w:space="0" w:color="000000"/>
              <w:right w:val="single" w:sz="4" w:space="0" w:color="000000"/>
            </w:tcBorders>
          </w:tcPr>
          <w:p w14:paraId="426983D4" w14:textId="77777777" w:rsidR="009E0570" w:rsidRDefault="00000000">
            <w:pPr>
              <w:tabs>
                <w:tab w:val="center" w:pos="497"/>
              </w:tabs>
              <w:spacing w:after="0" w:line="259" w:lineRule="auto"/>
              <w:ind w:left="0" w:firstLine="0"/>
              <w:jc w:val="left"/>
            </w:pPr>
            <w:r>
              <w:t xml:space="preserve">  </w:t>
            </w:r>
            <w:r>
              <w:tab/>
              <w:t xml:space="preserve">4  </w:t>
            </w:r>
          </w:p>
        </w:tc>
        <w:tc>
          <w:tcPr>
            <w:tcW w:w="994" w:type="dxa"/>
            <w:tcBorders>
              <w:top w:val="single" w:sz="4" w:space="0" w:color="000000"/>
              <w:left w:val="single" w:sz="4" w:space="0" w:color="000000"/>
              <w:bottom w:val="single" w:sz="4" w:space="0" w:color="000000"/>
              <w:right w:val="single" w:sz="4" w:space="0" w:color="000000"/>
            </w:tcBorders>
          </w:tcPr>
          <w:p w14:paraId="64F3218C" w14:textId="77777777" w:rsidR="009E0570" w:rsidRDefault="00000000">
            <w:pPr>
              <w:tabs>
                <w:tab w:val="center" w:pos="499"/>
              </w:tabs>
              <w:spacing w:after="0" w:line="259" w:lineRule="auto"/>
              <w:ind w:left="0" w:firstLine="0"/>
              <w:jc w:val="left"/>
            </w:pPr>
            <w:r>
              <w:t xml:space="preserve">  </w:t>
            </w:r>
            <w:r>
              <w:tab/>
              <w:t xml:space="preserve">2   </w:t>
            </w:r>
          </w:p>
        </w:tc>
        <w:tc>
          <w:tcPr>
            <w:tcW w:w="1013" w:type="dxa"/>
            <w:tcBorders>
              <w:top w:val="single" w:sz="4" w:space="0" w:color="000000"/>
              <w:left w:val="single" w:sz="4" w:space="0" w:color="000000"/>
              <w:bottom w:val="single" w:sz="4" w:space="0" w:color="000000"/>
              <w:right w:val="single" w:sz="4" w:space="0" w:color="000000"/>
            </w:tcBorders>
          </w:tcPr>
          <w:p w14:paraId="5E5AE747" w14:textId="77777777" w:rsidR="009E0570" w:rsidRDefault="00000000">
            <w:pPr>
              <w:spacing w:after="0" w:line="259" w:lineRule="auto"/>
              <w:ind w:left="150" w:firstLine="0"/>
              <w:jc w:val="center"/>
            </w:pPr>
            <w:r>
              <w:t xml:space="preserve">0  </w:t>
            </w:r>
          </w:p>
        </w:tc>
        <w:tc>
          <w:tcPr>
            <w:tcW w:w="1264" w:type="dxa"/>
            <w:tcBorders>
              <w:top w:val="single" w:sz="4" w:space="0" w:color="000000"/>
              <w:left w:val="single" w:sz="4" w:space="0" w:color="000000"/>
              <w:bottom w:val="single" w:sz="4" w:space="0" w:color="000000"/>
              <w:right w:val="single" w:sz="4" w:space="0" w:color="000000"/>
            </w:tcBorders>
          </w:tcPr>
          <w:p w14:paraId="60676C74" w14:textId="77777777" w:rsidR="009E0570" w:rsidRDefault="00000000">
            <w:pPr>
              <w:tabs>
                <w:tab w:val="center" w:pos="636"/>
              </w:tabs>
              <w:spacing w:after="0" w:line="259" w:lineRule="auto"/>
              <w:ind w:left="-18" w:firstLine="0"/>
              <w:jc w:val="left"/>
            </w:pPr>
            <w:r>
              <w:t xml:space="preserve">  </w:t>
            </w:r>
            <w:r>
              <w:tab/>
              <w:t xml:space="preserve">0   </w:t>
            </w:r>
          </w:p>
        </w:tc>
      </w:tr>
    </w:tbl>
    <w:p w14:paraId="122A667F" w14:textId="77777777" w:rsidR="009E0570" w:rsidRDefault="00000000">
      <w:pPr>
        <w:spacing w:after="0" w:line="259" w:lineRule="auto"/>
        <w:ind w:left="29" w:firstLine="0"/>
        <w:jc w:val="left"/>
      </w:pPr>
      <w:r>
        <w:t xml:space="preserve">  </w:t>
      </w:r>
    </w:p>
    <w:p w14:paraId="7FAAD11A" w14:textId="77777777" w:rsidR="009E0570" w:rsidRDefault="00000000">
      <w:pPr>
        <w:spacing w:after="141" w:line="259" w:lineRule="auto"/>
        <w:ind w:left="29" w:firstLine="0"/>
        <w:jc w:val="left"/>
      </w:pPr>
      <w:r>
        <w:t xml:space="preserve">  </w:t>
      </w:r>
    </w:p>
    <w:p w14:paraId="5724D0C6" w14:textId="77777777" w:rsidR="009E0570" w:rsidRDefault="00000000">
      <w:pPr>
        <w:spacing w:after="0" w:line="259" w:lineRule="auto"/>
        <w:ind w:left="0" w:firstLine="0"/>
        <w:jc w:val="right"/>
      </w:pPr>
      <w:r>
        <w:rPr>
          <w:sz w:val="22"/>
        </w:rPr>
        <w:lastRenderedPageBreak/>
        <w:t xml:space="preserve">1 </w:t>
      </w:r>
      <w:r>
        <w:t xml:space="preserve"> </w:t>
      </w:r>
    </w:p>
    <w:p w14:paraId="3A6A1F5C" w14:textId="77777777" w:rsidR="009E0570" w:rsidRDefault="00000000">
      <w:pPr>
        <w:spacing w:after="0" w:line="259" w:lineRule="auto"/>
        <w:ind w:left="29" w:firstLine="0"/>
        <w:jc w:val="left"/>
      </w:pPr>
      <w:r>
        <w:rPr>
          <w:sz w:val="22"/>
        </w:rPr>
        <w:t xml:space="preserve"> </w:t>
      </w:r>
      <w:r>
        <w:t xml:space="preserve"> </w:t>
      </w:r>
    </w:p>
    <w:tbl>
      <w:tblPr>
        <w:tblStyle w:val="TableGrid"/>
        <w:tblW w:w="8919" w:type="dxa"/>
        <w:tblInd w:w="49" w:type="dxa"/>
        <w:tblCellMar>
          <w:top w:w="88" w:type="dxa"/>
          <w:left w:w="0" w:type="dxa"/>
          <w:bottom w:w="0" w:type="dxa"/>
          <w:right w:w="33" w:type="dxa"/>
        </w:tblCellMar>
        <w:tblLook w:val="04A0" w:firstRow="1" w:lastRow="0" w:firstColumn="1" w:lastColumn="0" w:noHBand="0" w:noVBand="1"/>
      </w:tblPr>
      <w:tblGrid>
        <w:gridCol w:w="3377"/>
        <w:gridCol w:w="1244"/>
        <w:gridCol w:w="1284"/>
        <w:gridCol w:w="1456"/>
        <w:gridCol w:w="1558"/>
      </w:tblGrid>
      <w:tr w:rsidR="009E0570" w14:paraId="67984C41" w14:textId="77777777">
        <w:trPr>
          <w:trHeight w:val="361"/>
        </w:trPr>
        <w:tc>
          <w:tcPr>
            <w:tcW w:w="3376" w:type="dxa"/>
            <w:tcBorders>
              <w:top w:val="single" w:sz="4" w:space="0" w:color="000000"/>
              <w:left w:val="single" w:sz="4" w:space="0" w:color="000000"/>
              <w:bottom w:val="single" w:sz="4" w:space="0" w:color="000000"/>
              <w:right w:val="single" w:sz="4" w:space="0" w:color="000000"/>
            </w:tcBorders>
            <w:shd w:val="clear" w:color="auto" w:fill="F4B083"/>
          </w:tcPr>
          <w:p w14:paraId="1441E7B0" w14:textId="77777777" w:rsidR="009E0570" w:rsidRDefault="00000000">
            <w:pPr>
              <w:tabs>
                <w:tab w:val="center" w:pos="3081"/>
              </w:tabs>
              <w:spacing w:after="0" w:line="259" w:lineRule="auto"/>
              <w:ind w:left="0" w:firstLine="0"/>
              <w:jc w:val="left"/>
            </w:pPr>
            <w:r>
              <w:t xml:space="preserve">Průměr posledního </w:t>
            </w:r>
            <w:proofErr w:type="gramStart"/>
            <w:r>
              <w:t xml:space="preserve">pololetí  </w:t>
            </w:r>
            <w:r>
              <w:tab/>
            </w:r>
            <w:proofErr w:type="gramEnd"/>
            <w:r>
              <w:t xml:space="preserve">  </w:t>
            </w:r>
          </w:p>
        </w:tc>
        <w:tc>
          <w:tcPr>
            <w:tcW w:w="1244" w:type="dxa"/>
            <w:tcBorders>
              <w:top w:val="single" w:sz="4" w:space="0" w:color="000000"/>
              <w:left w:val="single" w:sz="4" w:space="0" w:color="000000"/>
              <w:bottom w:val="single" w:sz="4" w:space="0" w:color="000000"/>
              <w:right w:val="single" w:sz="4" w:space="0" w:color="000000"/>
            </w:tcBorders>
            <w:shd w:val="clear" w:color="auto" w:fill="F4B083"/>
          </w:tcPr>
          <w:p w14:paraId="3F62078E" w14:textId="77777777" w:rsidR="009E0570" w:rsidRDefault="00000000">
            <w:pPr>
              <w:spacing w:after="0" w:line="259" w:lineRule="auto"/>
              <w:ind w:left="-14" w:firstLine="0"/>
              <w:jc w:val="left"/>
            </w:pPr>
            <w:r>
              <w:t xml:space="preserve"> 1,00 -1,50  </w:t>
            </w:r>
          </w:p>
        </w:tc>
        <w:tc>
          <w:tcPr>
            <w:tcW w:w="1284" w:type="dxa"/>
            <w:tcBorders>
              <w:top w:val="single" w:sz="4" w:space="0" w:color="000000"/>
              <w:left w:val="single" w:sz="4" w:space="0" w:color="000000"/>
              <w:bottom w:val="single" w:sz="4" w:space="0" w:color="000000"/>
              <w:right w:val="single" w:sz="4" w:space="0" w:color="000000"/>
            </w:tcBorders>
            <w:shd w:val="clear" w:color="auto" w:fill="F4B083"/>
          </w:tcPr>
          <w:p w14:paraId="2EC8AA67" w14:textId="77777777" w:rsidR="009E0570" w:rsidRDefault="00000000">
            <w:pPr>
              <w:spacing w:after="0" w:line="259" w:lineRule="auto"/>
              <w:ind w:left="11" w:firstLine="0"/>
            </w:pPr>
            <w:r>
              <w:t xml:space="preserve"> 1,51 – 2,00  </w:t>
            </w:r>
          </w:p>
        </w:tc>
        <w:tc>
          <w:tcPr>
            <w:tcW w:w="1456" w:type="dxa"/>
            <w:tcBorders>
              <w:top w:val="single" w:sz="4" w:space="0" w:color="000000"/>
              <w:left w:val="single" w:sz="4" w:space="0" w:color="000000"/>
              <w:bottom w:val="single" w:sz="4" w:space="0" w:color="000000"/>
              <w:right w:val="single" w:sz="4" w:space="0" w:color="000000"/>
            </w:tcBorders>
            <w:shd w:val="clear" w:color="auto" w:fill="F4B083"/>
          </w:tcPr>
          <w:p w14:paraId="633E06C2" w14:textId="77777777" w:rsidR="009E0570" w:rsidRDefault="00000000">
            <w:pPr>
              <w:spacing w:after="0" w:line="259" w:lineRule="auto"/>
              <w:ind w:left="11" w:firstLine="0"/>
              <w:jc w:val="left"/>
            </w:pPr>
            <w:r>
              <w:t xml:space="preserve"> 2,01 – 2,50  </w:t>
            </w:r>
          </w:p>
        </w:tc>
        <w:tc>
          <w:tcPr>
            <w:tcW w:w="1558" w:type="dxa"/>
            <w:tcBorders>
              <w:top w:val="single" w:sz="4" w:space="0" w:color="000000"/>
              <w:left w:val="single" w:sz="4" w:space="0" w:color="000000"/>
              <w:bottom w:val="single" w:sz="4" w:space="0" w:color="000000"/>
              <w:right w:val="single" w:sz="4" w:space="0" w:color="000000"/>
            </w:tcBorders>
            <w:shd w:val="clear" w:color="auto" w:fill="F4B083"/>
          </w:tcPr>
          <w:p w14:paraId="5D963C68" w14:textId="77777777" w:rsidR="009E0570" w:rsidRDefault="00000000">
            <w:pPr>
              <w:spacing w:after="0" w:line="259" w:lineRule="auto"/>
              <w:ind w:left="173" w:firstLine="0"/>
              <w:jc w:val="left"/>
            </w:pPr>
            <w:r>
              <w:t xml:space="preserve"> 2,51 a horší  </w:t>
            </w:r>
          </w:p>
        </w:tc>
      </w:tr>
      <w:tr w:rsidR="009E0570" w14:paraId="63BBAD0F" w14:textId="77777777">
        <w:trPr>
          <w:trHeight w:val="383"/>
        </w:trPr>
        <w:tc>
          <w:tcPr>
            <w:tcW w:w="3376" w:type="dxa"/>
            <w:tcBorders>
              <w:top w:val="single" w:sz="4" w:space="0" w:color="000000"/>
              <w:left w:val="single" w:sz="4" w:space="0" w:color="000000"/>
              <w:bottom w:val="single" w:sz="4" w:space="0" w:color="000000"/>
              <w:right w:val="single" w:sz="4" w:space="0" w:color="000000"/>
            </w:tcBorders>
            <w:shd w:val="clear" w:color="auto" w:fill="C5E0B3"/>
          </w:tcPr>
          <w:p w14:paraId="58B237B9" w14:textId="77777777" w:rsidR="009E0570" w:rsidRDefault="00000000">
            <w:pPr>
              <w:tabs>
                <w:tab w:val="center" w:pos="3081"/>
              </w:tabs>
              <w:spacing w:after="0" w:line="259" w:lineRule="auto"/>
              <w:ind w:left="0" w:firstLine="0"/>
              <w:jc w:val="left"/>
            </w:pPr>
            <w:r>
              <w:t xml:space="preserve">Bodové hodnocení   </w:t>
            </w:r>
            <w:r>
              <w:tab/>
              <w:t xml:space="preserve">  </w:t>
            </w:r>
          </w:p>
        </w:tc>
        <w:tc>
          <w:tcPr>
            <w:tcW w:w="1244" w:type="dxa"/>
            <w:tcBorders>
              <w:top w:val="single" w:sz="4" w:space="0" w:color="000000"/>
              <w:left w:val="single" w:sz="4" w:space="0" w:color="000000"/>
              <w:bottom w:val="single" w:sz="4" w:space="0" w:color="000000"/>
              <w:right w:val="single" w:sz="4" w:space="0" w:color="000000"/>
            </w:tcBorders>
          </w:tcPr>
          <w:p w14:paraId="48109371" w14:textId="77777777" w:rsidR="009E0570" w:rsidRDefault="00000000">
            <w:pPr>
              <w:tabs>
                <w:tab w:val="center" w:pos="626"/>
              </w:tabs>
              <w:spacing w:after="0" w:line="259" w:lineRule="auto"/>
              <w:ind w:left="-14" w:firstLine="0"/>
              <w:jc w:val="left"/>
            </w:pPr>
            <w:r>
              <w:t xml:space="preserve">  </w:t>
            </w:r>
            <w:r>
              <w:tab/>
              <w:t xml:space="preserve">12  </w:t>
            </w:r>
          </w:p>
        </w:tc>
        <w:tc>
          <w:tcPr>
            <w:tcW w:w="1284" w:type="dxa"/>
            <w:tcBorders>
              <w:top w:val="single" w:sz="4" w:space="0" w:color="000000"/>
              <w:left w:val="single" w:sz="4" w:space="0" w:color="000000"/>
              <w:bottom w:val="single" w:sz="4" w:space="0" w:color="000000"/>
              <w:right w:val="single" w:sz="4" w:space="0" w:color="000000"/>
            </w:tcBorders>
          </w:tcPr>
          <w:p w14:paraId="3EF52AB8" w14:textId="77777777" w:rsidR="009E0570" w:rsidRDefault="00000000">
            <w:pPr>
              <w:tabs>
                <w:tab w:val="center" w:pos="583"/>
              </w:tabs>
              <w:spacing w:after="0" w:line="259" w:lineRule="auto"/>
              <w:ind w:left="0" w:firstLine="0"/>
              <w:jc w:val="left"/>
            </w:pPr>
            <w:r>
              <w:t xml:space="preserve">  </w:t>
            </w:r>
            <w:r>
              <w:tab/>
              <w:t xml:space="preserve">8  </w:t>
            </w:r>
          </w:p>
        </w:tc>
        <w:tc>
          <w:tcPr>
            <w:tcW w:w="1456" w:type="dxa"/>
            <w:tcBorders>
              <w:top w:val="single" w:sz="4" w:space="0" w:color="000000"/>
              <w:left w:val="single" w:sz="4" w:space="0" w:color="000000"/>
              <w:bottom w:val="single" w:sz="4" w:space="0" w:color="000000"/>
              <w:right w:val="single" w:sz="4" w:space="0" w:color="000000"/>
            </w:tcBorders>
          </w:tcPr>
          <w:p w14:paraId="5E74B86C" w14:textId="77777777" w:rsidR="009E0570" w:rsidRDefault="00000000">
            <w:pPr>
              <w:tabs>
                <w:tab w:val="center" w:pos="744"/>
              </w:tabs>
              <w:spacing w:after="0" w:line="259" w:lineRule="auto"/>
              <w:ind w:left="0" w:firstLine="0"/>
              <w:jc w:val="left"/>
            </w:pPr>
            <w:r>
              <w:t xml:space="preserve">  </w:t>
            </w:r>
            <w:r>
              <w:tab/>
              <w:t xml:space="preserve">2  </w:t>
            </w:r>
          </w:p>
        </w:tc>
        <w:tc>
          <w:tcPr>
            <w:tcW w:w="1558" w:type="dxa"/>
            <w:tcBorders>
              <w:top w:val="single" w:sz="4" w:space="0" w:color="000000"/>
              <w:left w:val="single" w:sz="4" w:space="0" w:color="000000"/>
              <w:bottom w:val="single" w:sz="4" w:space="0" w:color="000000"/>
              <w:right w:val="single" w:sz="4" w:space="0" w:color="000000"/>
            </w:tcBorders>
          </w:tcPr>
          <w:p w14:paraId="3ED3F06F" w14:textId="77777777" w:rsidR="009E0570" w:rsidRDefault="00000000">
            <w:pPr>
              <w:tabs>
                <w:tab w:val="center" w:pos="889"/>
              </w:tabs>
              <w:spacing w:after="0" w:line="259" w:lineRule="auto"/>
              <w:ind w:left="0" w:firstLine="0"/>
              <w:jc w:val="left"/>
            </w:pPr>
            <w:r>
              <w:t xml:space="preserve">  </w:t>
            </w:r>
            <w:r>
              <w:tab/>
              <w:t xml:space="preserve">0  </w:t>
            </w:r>
          </w:p>
        </w:tc>
      </w:tr>
    </w:tbl>
    <w:p w14:paraId="31EB1761" w14:textId="77777777" w:rsidR="009E0570" w:rsidRDefault="00000000">
      <w:pPr>
        <w:spacing w:after="0" w:line="259" w:lineRule="auto"/>
        <w:ind w:left="29" w:firstLine="0"/>
        <w:jc w:val="left"/>
      </w:pPr>
      <w:r>
        <w:t xml:space="preserve">  </w:t>
      </w:r>
    </w:p>
    <w:p w14:paraId="22ECB28A" w14:textId="77777777" w:rsidR="009E0570" w:rsidRDefault="00000000">
      <w:pPr>
        <w:spacing w:after="0" w:line="259" w:lineRule="auto"/>
        <w:ind w:left="29" w:firstLine="0"/>
        <w:jc w:val="left"/>
      </w:pPr>
      <w:r>
        <w:t xml:space="preserve">  </w:t>
      </w:r>
    </w:p>
    <w:p w14:paraId="6D8A2ADA" w14:textId="77777777" w:rsidR="009E0570" w:rsidRDefault="00000000">
      <w:pPr>
        <w:pStyle w:val="Nadpis2"/>
        <w:spacing w:after="152"/>
        <w:ind w:left="-5"/>
      </w:pPr>
      <w:r>
        <w:t xml:space="preserve">Hodnocení jednotné přijímací zkoušky (JPZ)   </w:t>
      </w:r>
    </w:p>
    <w:p w14:paraId="689ADB6A" w14:textId="77777777" w:rsidR="009E0570" w:rsidRDefault="00000000">
      <w:pPr>
        <w:ind w:left="9" w:right="24"/>
      </w:pPr>
      <w:r>
        <w:t xml:space="preserve">Uchazeči se do celkového hodnocení započítává lepší výsledek testu z českého jazyka a z matematiky.   </w:t>
      </w:r>
    </w:p>
    <w:p w14:paraId="17E052D8" w14:textId="77777777" w:rsidR="009E0570" w:rsidRDefault="00000000">
      <w:pPr>
        <w:spacing w:after="82" w:line="259" w:lineRule="auto"/>
        <w:ind w:left="14" w:firstLine="0"/>
        <w:jc w:val="left"/>
      </w:pPr>
      <w:r>
        <w:t xml:space="preserve">  </w:t>
      </w:r>
    </w:p>
    <w:p w14:paraId="13D6DA13" w14:textId="77777777" w:rsidR="009E0570" w:rsidRDefault="00000000">
      <w:pPr>
        <w:pStyle w:val="Nadpis2"/>
        <w:ind w:left="-5"/>
      </w:pPr>
      <w:r>
        <w:t xml:space="preserve"> Postup výpočtu celkově získaných bodů    </w:t>
      </w:r>
    </w:p>
    <w:p w14:paraId="3478C7D2" w14:textId="77777777" w:rsidR="009E0570" w:rsidRDefault="00000000">
      <w:pPr>
        <w:ind w:left="9" w:right="24"/>
      </w:pPr>
      <w:r>
        <w:t xml:space="preserve">JPZ: (počet bodů MAT + počet bodů ČJ) = A   </w:t>
      </w:r>
    </w:p>
    <w:p w14:paraId="1896909E" w14:textId="77777777" w:rsidR="009E0570" w:rsidRDefault="00000000">
      <w:pPr>
        <w:ind w:left="9" w:right="24"/>
      </w:pPr>
      <w:r>
        <w:t xml:space="preserve">HOD: (počet bodů za známky + počet bodů za průměr) = B   </w:t>
      </w:r>
    </w:p>
    <w:p w14:paraId="6336C241" w14:textId="77777777" w:rsidR="009E0570" w:rsidRDefault="00000000">
      <w:pPr>
        <w:ind w:left="9" w:right="24"/>
      </w:pPr>
      <w:r>
        <w:t xml:space="preserve">Celkem získaných bodů = A + B    </w:t>
      </w:r>
    </w:p>
    <w:p w14:paraId="46C7350B" w14:textId="77777777" w:rsidR="009E0570" w:rsidRDefault="00000000">
      <w:pPr>
        <w:spacing w:after="15" w:line="259" w:lineRule="auto"/>
        <w:ind w:left="14" w:firstLine="0"/>
        <w:jc w:val="left"/>
      </w:pPr>
      <w:r>
        <w:t xml:space="preserve">  </w:t>
      </w:r>
    </w:p>
    <w:p w14:paraId="634AC361" w14:textId="77777777" w:rsidR="009E0570" w:rsidRDefault="00000000">
      <w:pPr>
        <w:spacing w:after="17" w:line="259" w:lineRule="auto"/>
        <w:ind w:left="14" w:firstLine="0"/>
        <w:jc w:val="left"/>
      </w:pPr>
      <w:r>
        <w:t xml:space="preserve">  </w:t>
      </w:r>
    </w:p>
    <w:p w14:paraId="46365F04" w14:textId="058313AF" w:rsidR="009E0570" w:rsidRDefault="00000000">
      <w:pPr>
        <w:spacing w:after="8" w:line="264" w:lineRule="auto"/>
        <w:jc w:val="left"/>
      </w:pPr>
      <w:r>
        <w:rPr>
          <w:b/>
          <w:color w:val="00B050"/>
        </w:rPr>
        <w:t xml:space="preserve">Pro přijetí musí mít uchazeč minimálně celkově </w:t>
      </w:r>
      <w:r w:rsidR="008274E7">
        <w:rPr>
          <w:b/>
          <w:color w:val="EE0000"/>
        </w:rPr>
        <w:t>60</w:t>
      </w:r>
      <w:r>
        <w:rPr>
          <w:b/>
          <w:color w:val="00B050"/>
        </w:rPr>
        <w:t xml:space="preserve"> </w:t>
      </w:r>
      <w:proofErr w:type="gramStart"/>
      <w:r>
        <w:rPr>
          <w:b/>
          <w:color w:val="00B050"/>
        </w:rPr>
        <w:t>bodů  a</w:t>
      </w:r>
      <w:proofErr w:type="gramEnd"/>
      <w:r>
        <w:rPr>
          <w:b/>
          <w:color w:val="00B050"/>
        </w:rPr>
        <w:t xml:space="preserve"> zároveň z celkového počtu uchazeč musí získat v jednotné přijímací zkoušce </w:t>
      </w:r>
      <w:proofErr w:type="gramStart"/>
      <w:r>
        <w:rPr>
          <w:b/>
          <w:color w:val="00B050"/>
        </w:rPr>
        <w:t xml:space="preserve">minimálně  </w:t>
      </w:r>
      <w:r>
        <w:rPr>
          <w:b/>
          <w:color w:val="EE0000"/>
        </w:rPr>
        <w:t>1</w:t>
      </w:r>
      <w:r w:rsidR="00191A6C">
        <w:rPr>
          <w:b/>
          <w:color w:val="EE0000"/>
        </w:rPr>
        <w:t>3</w:t>
      </w:r>
      <w:proofErr w:type="gramEnd"/>
      <w:r>
        <w:rPr>
          <w:b/>
          <w:color w:val="00B050"/>
        </w:rPr>
        <w:t xml:space="preserve"> bodů z českého jazyka a </w:t>
      </w:r>
      <w:r w:rsidR="00191A6C">
        <w:rPr>
          <w:b/>
          <w:color w:val="EE0000"/>
        </w:rPr>
        <w:t>11</w:t>
      </w:r>
      <w:r>
        <w:rPr>
          <w:b/>
          <w:color w:val="00B050"/>
        </w:rPr>
        <w:t xml:space="preserve"> bodů z matematiky. </w:t>
      </w:r>
      <w:r>
        <w:t xml:space="preserve"> </w:t>
      </w:r>
    </w:p>
    <w:p w14:paraId="2EE8032E" w14:textId="77777777" w:rsidR="009E0570" w:rsidRDefault="00000000">
      <w:pPr>
        <w:spacing w:after="24" w:line="259" w:lineRule="auto"/>
        <w:ind w:left="29" w:firstLine="0"/>
        <w:jc w:val="left"/>
      </w:pPr>
      <w:r>
        <w:t xml:space="preserve">  </w:t>
      </w:r>
    </w:p>
    <w:p w14:paraId="15CED6AD" w14:textId="77777777" w:rsidR="009E0570" w:rsidRDefault="00000000">
      <w:pPr>
        <w:ind w:left="9" w:right="24"/>
      </w:pPr>
      <w:r>
        <w:t xml:space="preserve">V případě rovnosti získaných bodů, rozhoduje součet známek z matematiky, českého jazyka a cizího jazyka za první pololetí školního roku 2025/2026. Přijat je ten uchazeč, který má součet známek nižší. V případě i této rovnosti rozhoduje výše uvedený součet známek za 2. pololetí školního roku 2024/2025.   </w:t>
      </w:r>
    </w:p>
    <w:p w14:paraId="3B0E71F5" w14:textId="77777777" w:rsidR="009E0570" w:rsidRDefault="00000000">
      <w:pPr>
        <w:spacing w:after="94" w:line="259" w:lineRule="auto"/>
        <w:ind w:left="14" w:firstLine="0"/>
        <w:jc w:val="left"/>
      </w:pPr>
      <w:r>
        <w:t xml:space="preserve">  </w:t>
      </w:r>
    </w:p>
    <w:p w14:paraId="343685F1" w14:textId="77777777" w:rsidR="009E0570" w:rsidRDefault="00000000">
      <w:pPr>
        <w:pStyle w:val="Nadpis2"/>
        <w:spacing w:after="0"/>
        <w:ind w:left="9"/>
      </w:pPr>
      <w:r>
        <w:rPr>
          <w:color w:val="00B050"/>
          <w:sz w:val="28"/>
          <w:u w:val="single" w:color="00B050"/>
        </w:rPr>
        <w:t>Osoby vzdělávající se v zahraničí</w:t>
      </w:r>
      <w:r>
        <w:rPr>
          <w:color w:val="00B050"/>
          <w:sz w:val="28"/>
        </w:rPr>
        <w:t xml:space="preserve">  </w:t>
      </w:r>
    </w:p>
    <w:p w14:paraId="2ABD4266" w14:textId="77777777" w:rsidR="009E0570" w:rsidRDefault="00000000">
      <w:pPr>
        <w:spacing w:after="17" w:line="259" w:lineRule="auto"/>
        <w:ind w:left="14" w:firstLine="0"/>
        <w:jc w:val="left"/>
      </w:pPr>
      <w:r>
        <w:t xml:space="preserve"> </w:t>
      </w:r>
    </w:p>
    <w:p w14:paraId="39A90059" w14:textId="77777777" w:rsidR="009E0570" w:rsidRDefault="00000000">
      <w:pPr>
        <w:ind w:left="9" w:right="24"/>
      </w:pPr>
      <w:r>
        <w:t xml:space="preserve">Osobám s českým nebo cizím státním občanstvím, které získaly předchozí vzdělání ve škole mimo území České republiky, se při přijímacím řízení promíjí na jejich žádost podle § 20 odst. 4 školského zákona přijímací zkouška z českého jazyka, pokud je součástí přijímací zkoušky, a </w:t>
      </w:r>
    </w:p>
    <w:p w14:paraId="237F2023" w14:textId="77777777" w:rsidR="009E0570" w:rsidRDefault="00000000">
      <w:pPr>
        <w:ind w:left="9" w:right="24"/>
      </w:pPr>
      <w:r>
        <w:t xml:space="preserve">navyšuje čas u ostatních písemných testů s možností použít překladový slovník. Znalost českého jazyka na úrovni nezbytné pro vzdělávání se ověří rozhovorem. Tento rozhovor není měřitelné kritérium pro přijímací řízení. Uchazeč je do výsledného pořadí zařazen dle redukovaného pořadí.  </w:t>
      </w:r>
    </w:p>
    <w:p w14:paraId="5F00B555" w14:textId="77777777" w:rsidR="009E0570" w:rsidRDefault="00000000">
      <w:pPr>
        <w:spacing w:after="17" w:line="259" w:lineRule="auto"/>
        <w:ind w:left="14" w:firstLine="0"/>
        <w:jc w:val="left"/>
      </w:pPr>
      <w:r>
        <w:t xml:space="preserve"> </w:t>
      </w:r>
    </w:p>
    <w:p w14:paraId="393956D2" w14:textId="77777777" w:rsidR="009E0570" w:rsidRDefault="00000000">
      <w:pPr>
        <w:spacing w:after="17" w:line="259" w:lineRule="auto"/>
        <w:ind w:left="14" w:firstLine="0"/>
        <w:jc w:val="left"/>
      </w:pPr>
      <w:r>
        <w:t xml:space="preserve">Struktura rozhovoru: </w:t>
      </w:r>
    </w:p>
    <w:p w14:paraId="67C48111" w14:textId="77777777" w:rsidR="009E0570" w:rsidRDefault="00000000">
      <w:pPr>
        <w:spacing w:after="20" w:line="259" w:lineRule="auto"/>
        <w:ind w:left="14" w:firstLine="0"/>
        <w:jc w:val="left"/>
      </w:pPr>
      <w:r>
        <w:t xml:space="preserve"> </w:t>
      </w:r>
    </w:p>
    <w:p w14:paraId="78984DA7" w14:textId="77777777" w:rsidR="009E0570" w:rsidRDefault="00000000">
      <w:pPr>
        <w:numPr>
          <w:ilvl w:val="0"/>
          <w:numId w:val="2"/>
        </w:numPr>
        <w:ind w:right="24" w:hanging="427"/>
      </w:pPr>
      <w:r>
        <w:t xml:space="preserve">Ústní část na místě </w:t>
      </w:r>
    </w:p>
    <w:p w14:paraId="05E7EFC4" w14:textId="77777777" w:rsidR="009E0570" w:rsidRDefault="00000000">
      <w:pPr>
        <w:ind w:left="384" w:right="24"/>
      </w:pPr>
      <w:r>
        <w:t>1.</w:t>
      </w:r>
      <w:r>
        <w:rPr>
          <w:rFonts w:ascii="Arial" w:eastAsia="Arial" w:hAnsi="Arial" w:cs="Arial"/>
        </w:rPr>
        <w:t xml:space="preserve"> </w:t>
      </w:r>
      <w:r>
        <w:t xml:space="preserve">1. Úvodní část – základní informace o uchazeči (nehodnotí se) </w:t>
      </w:r>
    </w:p>
    <w:p w14:paraId="2DE5DB7D" w14:textId="77777777" w:rsidR="009E0570" w:rsidRDefault="00000000">
      <w:pPr>
        <w:ind w:left="384" w:right="24"/>
      </w:pPr>
      <w:r>
        <w:t>1.</w:t>
      </w:r>
      <w:r>
        <w:rPr>
          <w:rFonts w:ascii="Arial" w:eastAsia="Arial" w:hAnsi="Arial" w:cs="Arial"/>
        </w:rPr>
        <w:t xml:space="preserve"> </w:t>
      </w:r>
      <w:r>
        <w:t xml:space="preserve">2. Obecná část – dosavadní vzdělání a zájmy uchazeče (max. 6 bodů) </w:t>
      </w:r>
    </w:p>
    <w:p w14:paraId="66222778" w14:textId="77777777" w:rsidR="009E0570" w:rsidRDefault="00000000">
      <w:pPr>
        <w:ind w:left="734" w:right="24" w:hanging="360"/>
      </w:pPr>
      <w:r>
        <w:t>1.</w:t>
      </w:r>
      <w:r>
        <w:rPr>
          <w:rFonts w:ascii="Arial" w:eastAsia="Arial" w:hAnsi="Arial" w:cs="Arial"/>
        </w:rPr>
        <w:t xml:space="preserve"> </w:t>
      </w:r>
      <w:r>
        <w:t xml:space="preserve">3. Oborová část – čtení s porozuměním, krátký rozhovor na téma z textu (max. 14 bodů) </w:t>
      </w:r>
    </w:p>
    <w:p w14:paraId="4751175C" w14:textId="77777777" w:rsidR="009E0570" w:rsidRDefault="00000000">
      <w:pPr>
        <w:numPr>
          <w:ilvl w:val="0"/>
          <w:numId w:val="2"/>
        </w:numPr>
        <w:ind w:right="24" w:hanging="427"/>
      </w:pPr>
      <w:r>
        <w:t xml:space="preserve">Prezentace předem připraveného projevu (max 4 body) </w:t>
      </w:r>
    </w:p>
    <w:p w14:paraId="0CFA0C6D" w14:textId="77777777" w:rsidR="009E0570" w:rsidRDefault="00000000">
      <w:pPr>
        <w:ind w:left="452" w:right="24"/>
      </w:pPr>
      <w:r>
        <w:lastRenderedPageBreak/>
        <w:t xml:space="preserve">Uchazeč si připraví samostatný projev v délce cca 2 minuty na libovolné téma, které se vztahuje k oboru vzdělání, do kterého se hlásí. K prezentaci tématu může obrázky, fotografie v telefonu, krátká </w:t>
      </w:r>
      <w:proofErr w:type="gramStart"/>
      <w:r>
        <w:t>videa,</w:t>
      </w:r>
      <w:proofErr w:type="gramEnd"/>
      <w:r>
        <w:t xml:space="preserve"> atd. </w:t>
      </w:r>
    </w:p>
    <w:p w14:paraId="6FBB6991" w14:textId="77777777" w:rsidR="009E0570" w:rsidRDefault="00000000">
      <w:pPr>
        <w:spacing w:after="5" w:line="259" w:lineRule="auto"/>
        <w:ind w:left="442" w:firstLine="0"/>
        <w:jc w:val="left"/>
      </w:pPr>
      <w:r>
        <w:t xml:space="preserve"> </w:t>
      </w:r>
    </w:p>
    <w:p w14:paraId="03CDD3D2" w14:textId="77777777" w:rsidR="009E0570" w:rsidRDefault="00000000">
      <w:pPr>
        <w:spacing w:after="5" w:line="259" w:lineRule="auto"/>
        <w:ind w:left="442" w:firstLine="0"/>
        <w:jc w:val="left"/>
      </w:pPr>
      <w:r>
        <w:t xml:space="preserve"> </w:t>
      </w:r>
    </w:p>
    <w:p w14:paraId="0A43C163" w14:textId="77777777" w:rsidR="009E0570" w:rsidRDefault="00000000">
      <w:pPr>
        <w:ind w:left="9" w:right="24"/>
      </w:pPr>
      <w:r>
        <w:t xml:space="preserve">Cílem rozhovoru se u uchazeče zjišťuje: </w:t>
      </w:r>
    </w:p>
    <w:p w14:paraId="645E98E0" w14:textId="77777777" w:rsidR="009E0570" w:rsidRDefault="00000000">
      <w:pPr>
        <w:numPr>
          <w:ilvl w:val="1"/>
          <w:numId w:val="3"/>
        </w:numPr>
        <w:ind w:right="24" w:hanging="360"/>
      </w:pPr>
      <w:r>
        <w:t xml:space="preserve">Úroveň českého jazyka, včetně zápisu latinkou </w:t>
      </w:r>
    </w:p>
    <w:p w14:paraId="1C1BC622" w14:textId="77777777" w:rsidR="009E0570" w:rsidRDefault="00000000">
      <w:pPr>
        <w:numPr>
          <w:ilvl w:val="1"/>
          <w:numId w:val="3"/>
        </w:numPr>
        <w:ind w:right="24" w:hanging="360"/>
      </w:pPr>
      <w:r>
        <w:t xml:space="preserve">Předpoklady rozvíjení studijního potenciálu </w:t>
      </w:r>
    </w:p>
    <w:p w14:paraId="708CCA62" w14:textId="77777777" w:rsidR="009E0570" w:rsidRDefault="00000000">
      <w:pPr>
        <w:numPr>
          <w:ilvl w:val="1"/>
          <w:numId w:val="3"/>
        </w:numPr>
        <w:ind w:right="24" w:hanging="360"/>
      </w:pPr>
      <w:r>
        <w:t xml:space="preserve">Dovednost plnit své povinnosti (příprava na rozhovor) </w:t>
      </w:r>
    </w:p>
    <w:p w14:paraId="643D0F1B" w14:textId="77777777" w:rsidR="009E0570" w:rsidRDefault="00000000">
      <w:pPr>
        <w:numPr>
          <w:ilvl w:val="1"/>
          <w:numId w:val="3"/>
        </w:numPr>
        <w:ind w:right="24" w:hanging="360"/>
      </w:pPr>
      <w:r>
        <w:t xml:space="preserve">Zájem o studium a studijní obor </w:t>
      </w:r>
    </w:p>
    <w:p w14:paraId="1579623E" w14:textId="77777777" w:rsidR="009E0570" w:rsidRDefault="00000000">
      <w:pPr>
        <w:spacing w:after="17" w:line="259" w:lineRule="auto"/>
        <w:ind w:left="734" w:firstLine="0"/>
        <w:jc w:val="left"/>
      </w:pPr>
      <w:r>
        <w:t xml:space="preserve">  </w:t>
      </w:r>
    </w:p>
    <w:p w14:paraId="6CBA996C" w14:textId="77777777" w:rsidR="009E0570" w:rsidRDefault="00000000">
      <w:pPr>
        <w:ind w:left="9" w:right="24"/>
      </w:pPr>
      <w:r>
        <w:t xml:space="preserve">Délka rozhovoru: 30 minut (10 minut příprava, 10 minut vlastní rozhovor) </w:t>
      </w:r>
    </w:p>
    <w:p w14:paraId="4D9CA737" w14:textId="77777777" w:rsidR="009E0570" w:rsidRDefault="00000000">
      <w:pPr>
        <w:spacing w:after="17" w:line="259" w:lineRule="auto"/>
        <w:ind w:left="14" w:firstLine="0"/>
        <w:jc w:val="left"/>
      </w:pPr>
      <w:r>
        <w:t xml:space="preserve"> </w:t>
      </w:r>
    </w:p>
    <w:p w14:paraId="0DC7C0E0" w14:textId="77777777" w:rsidR="009E0570" w:rsidRDefault="00000000">
      <w:pPr>
        <w:ind w:left="9" w:right="24"/>
      </w:pPr>
      <w:r>
        <w:t xml:space="preserve">Aby uchazeč u rozhovoru uspěl, musí získat celkem ze všech částí rozhovoru min. 15 bodů a zároveň musí získat alespoň 1 bod v každé části. Cizinec, který neuspěje u zkoušky ověřující znalost českého jazyka, nesplní kritéria a nemůže být přijat ke studiu. </w:t>
      </w:r>
    </w:p>
    <w:p w14:paraId="433F0753" w14:textId="77777777" w:rsidR="009E0570" w:rsidRDefault="00000000">
      <w:pPr>
        <w:spacing w:after="18" w:line="259" w:lineRule="auto"/>
        <w:ind w:left="14" w:firstLine="0"/>
        <w:jc w:val="left"/>
      </w:pPr>
      <w:r>
        <w:t xml:space="preserve"> </w:t>
      </w:r>
    </w:p>
    <w:p w14:paraId="6408CC99" w14:textId="134A3CC2" w:rsidR="009E0570" w:rsidRDefault="00000000">
      <w:pPr>
        <w:ind w:left="9" w:right="24"/>
      </w:pPr>
      <w:r>
        <w:t xml:space="preserve">Pohovor: </w:t>
      </w:r>
      <w:r w:rsidR="00191A6C">
        <w:t>8</w:t>
      </w:r>
      <w:r>
        <w:t xml:space="preserve">. </w:t>
      </w:r>
      <w:r w:rsidR="00191A6C">
        <w:t>června</w:t>
      </w:r>
      <w:r>
        <w:t xml:space="preserve"> 2026 </w:t>
      </w:r>
    </w:p>
    <w:p w14:paraId="409DF46E" w14:textId="77777777" w:rsidR="009E0570" w:rsidRDefault="00000000">
      <w:pPr>
        <w:spacing w:after="17" w:line="259" w:lineRule="auto"/>
        <w:ind w:left="14" w:firstLine="0"/>
        <w:jc w:val="left"/>
      </w:pPr>
      <w:r>
        <w:t xml:space="preserve"> </w:t>
      </w:r>
    </w:p>
    <w:p w14:paraId="06B6FA8E" w14:textId="77777777" w:rsidR="009E0570" w:rsidRDefault="00000000">
      <w:pPr>
        <w:spacing w:after="15" w:line="259" w:lineRule="auto"/>
        <w:ind w:left="14" w:firstLine="0"/>
        <w:jc w:val="left"/>
      </w:pPr>
      <w:r>
        <w:t xml:space="preserve">  </w:t>
      </w:r>
    </w:p>
    <w:p w14:paraId="34B6BDDA" w14:textId="77777777" w:rsidR="009E0570" w:rsidRDefault="00000000">
      <w:pPr>
        <w:pStyle w:val="Nadpis3"/>
      </w:pPr>
      <w:r>
        <w:t>Uchazeči z Ukrajiny</w:t>
      </w:r>
      <w:r>
        <w:rPr>
          <w:b w:val="0"/>
          <w:u w:val="none"/>
        </w:rPr>
        <w:t xml:space="preserve">   </w:t>
      </w:r>
    </w:p>
    <w:p w14:paraId="619E2ABC" w14:textId="77777777" w:rsidR="009E0570" w:rsidRDefault="00000000">
      <w:pPr>
        <w:ind w:left="9" w:right="24"/>
      </w:pPr>
      <w:r>
        <w:t xml:space="preserve">MŠMT podle ustanovení § 5a zákona č. 67/2022 Sb., o opatřeních v oblasti školství v souvislosti s ozbrojeným konfliktem na území Ukrajiny </w:t>
      </w:r>
      <w:proofErr w:type="gramStart"/>
      <w:r>
        <w:t>vyvolaným invazí vojsk Ruské federace</w:t>
      </w:r>
      <w:proofErr w:type="gramEnd"/>
      <w:r>
        <w:t xml:space="preserve">, ve znění pozdějších předpisů, určuje: </w:t>
      </w:r>
    </w:p>
    <w:p w14:paraId="0BDA66A3" w14:textId="77777777" w:rsidR="009E0570" w:rsidRDefault="00000000">
      <w:pPr>
        <w:numPr>
          <w:ilvl w:val="0"/>
          <w:numId w:val="4"/>
        </w:numPr>
        <w:ind w:right="24"/>
      </w:pPr>
      <w:r>
        <w:t xml:space="preserve">Cizinci podle § 1 odst. 1 zákona o opatřeních v oblasti školství v souvislosti s ozbrojeným konfliktem na území Ukrajiny </w:t>
      </w:r>
      <w:proofErr w:type="gramStart"/>
      <w:r>
        <w:t>vyvolaným invazí vojsk Ruské federace</w:t>
      </w:r>
      <w:proofErr w:type="gramEnd"/>
      <w:r>
        <w:t xml:space="preserve"> (dále také „cizinec“), se při přijímacím řízení ke vzdělávání ve středních a vyšších odborných školách pro školní rok 2026/2027 navyšuje časový limit zkoušky nebo její části konané v písemné podobě o 25 % a má právo použít překladový slovník.  </w:t>
      </w:r>
    </w:p>
    <w:p w14:paraId="54A023C0" w14:textId="77777777" w:rsidR="009E0570" w:rsidRDefault="00000000">
      <w:pPr>
        <w:numPr>
          <w:ilvl w:val="0"/>
          <w:numId w:val="4"/>
        </w:numPr>
        <w:ind w:right="24"/>
      </w:pPr>
      <w:r>
        <w:t xml:space="preserve">Společně s přihláškou k přijímacímu řízení uchazeč doloží, že je cizincem podle § 1 odst. 1 zákona o opatřeních v oblasti školství v souvislosti s ozbrojeným konfliktem na území Ukrajiny </w:t>
      </w:r>
      <w:proofErr w:type="gramStart"/>
      <w:r>
        <w:t>vyvolaným invazí vojsk Ruské federace</w:t>
      </w:r>
      <w:proofErr w:type="gramEnd"/>
      <w:r>
        <w:t xml:space="preserve">. </w:t>
      </w:r>
    </w:p>
    <w:p w14:paraId="1E8860DB" w14:textId="77777777" w:rsidR="009E0570" w:rsidRDefault="00000000">
      <w:pPr>
        <w:spacing w:after="60" w:line="259" w:lineRule="auto"/>
        <w:ind w:left="14" w:firstLine="0"/>
        <w:jc w:val="left"/>
      </w:pPr>
      <w:r>
        <w:t xml:space="preserve"> </w:t>
      </w:r>
    </w:p>
    <w:p w14:paraId="70F87ECF" w14:textId="77777777" w:rsidR="009E0570" w:rsidRDefault="00000000">
      <w:pPr>
        <w:pStyle w:val="Nadpis2"/>
        <w:spacing w:after="0"/>
        <w:ind w:left="9"/>
      </w:pPr>
      <w:r>
        <w:rPr>
          <w:color w:val="00B050"/>
          <w:sz w:val="28"/>
          <w:u w:val="single" w:color="00B050"/>
        </w:rPr>
        <w:t>Nahlížení do spisu</w:t>
      </w:r>
      <w:r>
        <w:rPr>
          <w:color w:val="00B050"/>
          <w:sz w:val="28"/>
        </w:rPr>
        <w:t xml:space="preserve"> </w:t>
      </w:r>
    </w:p>
    <w:p w14:paraId="0825AF75" w14:textId="7F5501D5" w:rsidR="009E0570" w:rsidRDefault="00000000">
      <w:pPr>
        <w:spacing w:after="162"/>
        <w:ind w:left="9" w:right="24"/>
      </w:pPr>
      <w:r>
        <w:t xml:space="preserve">Nahlížet do spisu a vyjádřit se k podkladům pro vydání rozhodnutí podle správního řádu bude zákonným zástupcům umožněno ve dnech </w:t>
      </w:r>
      <w:r w:rsidR="000430A8">
        <w:t>22</w:t>
      </w:r>
      <w:r>
        <w:t>.—</w:t>
      </w:r>
      <w:r w:rsidR="000430A8">
        <w:t>23</w:t>
      </w:r>
      <w:r>
        <w:t>.</w:t>
      </w:r>
      <w:r w:rsidR="000430A8">
        <w:t xml:space="preserve"> června</w:t>
      </w:r>
      <w:r>
        <w:t xml:space="preserve"> od 10:00 — 1</w:t>
      </w:r>
      <w:r w:rsidR="000430A8">
        <w:t>4</w:t>
      </w:r>
      <w:r>
        <w:t xml:space="preserve">:00 v budově školy po předchozí domluvě na telefonu +420 493 535 618, nebo e-mailem </w:t>
      </w:r>
      <w:r>
        <w:rPr>
          <w:u w:val="single" w:color="000000"/>
        </w:rPr>
        <w:t>kancelar@sposka.cz.</w:t>
      </w:r>
      <w:r>
        <w:rPr>
          <w:rFonts w:ascii="Times New Roman" w:eastAsia="Times New Roman" w:hAnsi="Times New Roman" w:cs="Times New Roman"/>
        </w:rPr>
        <w:t xml:space="preserve"> </w:t>
      </w:r>
    </w:p>
    <w:p w14:paraId="28C8D07B" w14:textId="77777777" w:rsidR="009E0570" w:rsidRDefault="00000000">
      <w:pPr>
        <w:spacing w:after="17" w:line="259" w:lineRule="auto"/>
        <w:ind w:left="14" w:firstLine="0"/>
        <w:jc w:val="left"/>
      </w:pPr>
      <w:r>
        <w:t xml:space="preserve"> </w:t>
      </w:r>
    </w:p>
    <w:p w14:paraId="745BCE66" w14:textId="413DED95" w:rsidR="000430A8" w:rsidRDefault="000430A8">
      <w:pPr>
        <w:spacing w:after="17" w:line="259" w:lineRule="auto"/>
        <w:ind w:left="14" w:firstLine="0"/>
        <w:jc w:val="left"/>
      </w:pPr>
      <w:r>
        <w:t>Vyvěšení výsledků: 24. 6. 2026</w:t>
      </w:r>
    </w:p>
    <w:p w14:paraId="3AF2C245" w14:textId="77777777" w:rsidR="009E0570" w:rsidRDefault="00000000">
      <w:pPr>
        <w:spacing w:after="17" w:line="259" w:lineRule="auto"/>
        <w:ind w:left="14" w:firstLine="0"/>
        <w:jc w:val="left"/>
      </w:pPr>
      <w:r>
        <w:t xml:space="preserve"> </w:t>
      </w:r>
    </w:p>
    <w:p w14:paraId="0E13A4C4" w14:textId="77777777" w:rsidR="009E0570" w:rsidRDefault="00000000">
      <w:pPr>
        <w:spacing w:after="15" w:line="259" w:lineRule="auto"/>
        <w:ind w:left="14" w:firstLine="0"/>
        <w:jc w:val="left"/>
      </w:pPr>
      <w:r>
        <w:t xml:space="preserve"> </w:t>
      </w:r>
    </w:p>
    <w:p w14:paraId="22A4A28F" w14:textId="0073728B" w:rsidR="009E0570" w:rsidRDefault="00000000">
      <w:pPr>
        <w:ind w:left="9" w:right="24"/>
      </w:pPr>
      <w:r>
        <w:t xml:space="preserve">V Jičíně dne </w:t>
      </w:r>
      <w:r w:rsidR="00191A6C">
        <w:t>18</w:t>
      </w:r>
      <w:r>
        <w:t xml:space="preserve">. </w:t>
      </w:r>
      <w:r w:rsidR="00191A6C">
        <w:t>5</w:t>
      </w:r>
      <w:r>
        <w:t xml:space="preserve">. 2026    </w:t>
      </w:r>
    </w:p>
    <w:sectPr w:rsidR="009E0570">
      <w:pgSz w:w="11906" w:h="16838"/>
      <w:pgMar w:top="766" w:right="1400" w:bottom="797" w:left="138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3D5"/>
    <w:multiLevelType w:val="hybridMultilevel"/>
    <w:tmpl w:val="3FD06D08"/>
    <w:lvl w:ilvl="0" w:tplc="6B40E7F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A4E0B6">
      <w:start w:val="1"/>
      <w:numFmt w:val="lowerLetter"/>
      <w:lvlText w:val="%2"/>
      <w:lvlJc w:val="left"/>
      <w:pPr>
        <w:ind w:left="1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80841C">
      <w:start w:val="1"/>
      <w:numFmt w:val="lowerRoman"/>
      <w:lvlText w:val="%3"/>
      <w:lvlJc w:val="left"/>
      <w:pPr>
        <w:ind w:left="1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58C72A">
      <w:start w:val="1"/>
      <w:numFmt w:val="decimal"/>
      <w:lvlText w:val="%4"/>
      <w:lvlJc w:val="left"/>
      <w:pPr>
        <w:ind w:left="2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BCF66A">
      <w:start w:val="1"/>
      <w:numFmt w:val="lowerLetter"/>
      <w:lvlText w:val="%5"/>
      <w:lvlJc w:val="left"/>
      <w:pPr>
        <w:ind w:left="3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62E2C6">
      <w:start w:val="1"/>
      <w:numFmt w:val="lowerRoman"/>
      <w:lvlText w:val="%6"/>
      <w:lvlJc w:val="left"/>
      <w:pPr>
        <w:ind w:left="4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28E554">
      <w:start w:val="1"/>
      <w:numFmt w:val="decimal"/>
      <w:lvlText w:val="%7"/>
      <w:lvlJc w:val="left"/>
      <w:pPr>
        <w:ind w:left="4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84CDA6">
      <w:start w:val="1"/>
      <w:numFmt w:val="lowerLetter"/>
      <w:lvlText w:val="%8"/>
      <w:lvlJc w:val="left"/>
      <w:pPr>
        <w:ind w:left="5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D63076">
      <w:start w:val="1"/>
      <w:numFmt w:val="lowerRoman"/>
      <w:lvlText w:val="%9"/>
      <w:lvlJc w:val="left"/>
      <w:pPr>
        <w:ind w:left="6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7252EE"/>
    <w:multiLevelType w:val="hybridMultilevel"/>
    <w:tmpl w:val="EB9AFFEE"/>
    <w:lvl w:ilvl="0" w:tplc="E8B4DAC2">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361630">
      <w:start w:val="1"/>
      <w:numFmt w:val="bullet"/>
      <w:lvlText w:val="o"/>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224012">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2075B0">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D2BAD0">
      <w:start w:val="1"/>
      <w:numFmt w:val="bullet"/>
      <w:lvlText w:val="o"/>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7C5126">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B45CCA">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0AF320">
      <w:start w:val="1"/>
      <w:numFmt w:val="bullet"/>
      <w:lvlText w:val="o"/>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DE26CC">
      <w:start w:val="1"/>
      <w:numFmt w:val="bullet"/>
      <w:lvlText w:val="▪"/>
      <w:lvlJc w:val="left"/>
      <w:pPr>
        <w:ind w:left="6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E80CB6"/>
    <w:multiLevelType w:val="hybridMultilevel"/>
    <w:tmpl w:val="82266610"/>
    <w:lvl w:ilvl="0" w:tplc="F380150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F445AC">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A43FF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980EE8">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74C512">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C2EC9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E82C4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DA0DAC">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60408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9F3498"/>
    <w:multiLevelType w:val="hybridMultilevel"/>
    <w:tmpl w:val="C3FADDE4"/>
    <w:lvl w:ilvl="0" w:tplc="F0FA2F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C440E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783D92">
      <w:start w:val="1"/>
      <w:numFmt w:val="bullet"/>
      <w:lvlText w:val="▪"/>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BA5F0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B46B20">
      <w:start w:val="1"/>
      <w:numFmt w:val="bullet"/>
      <w:lvlText w:val="o"/>
      <w:lvlJc w:val="left"/>
      <w:pPr>
        <w:ind w:left="2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3C09A6">
      <w:start w:val="1"/>
      <w:numFmt w:val="bullet"/>
      <w:lvlText w:val="▪"/>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B23FB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EEF922">
      <w:start w:val="1"/>
      <w:numFmt w:val="bullet"/>
      <w:lvlText w:val="o"/>
      <w:lvlJc w:val="left"/>
      <w:pPr>
        <w:ind w:left="5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48A020">
      <w:start w:val="1"/>
      <w:numFmt w:val="bullet"/>
      <w:lvlText w:val="▪"/>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66345944">
    <w:abstractNumId w:val="1"/>
  </w:num>
  <w:num w:numId="2" w16cid:durableId="252784079">
    <w:abstractNumId w:val="2"/>
  </w:num>
  <w:num w:numId="3" w16cid:durableId="129440569">
    <w:abstractNumId w:val="3"/>
  </w:num>
  <w:num w:numId="4" w16cid:durableId="12959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70"/>
    <w:rsid w:val="000430A8"/>
    <w:rsid w:val="000F7B06"/>
    <w:rsid w:val="00191A6C"/>
    <w:rsid w:val="008274E7"/>
    <w:rsid w:val="009E0570"/>
    <w:rsid w:val="00A5629C"/>
    <w:rsid w:val="00AD1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1F75"/>
  <w15:docId w15:val="{0C769B80-A7F8-4AFD-96E6-152879A3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 w:line="262" w:lineRule="auto"/>
      <w:ind w:left="24"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0" w:line="259" w:lineRule="auto"/>
      <w:ind w:left="14"/>
      <w:outlineLvl w:val="0"/>
    </w:pPr>
    <w:rPr>
      <w:rFonts w:ascii="Calibri" w:eastAsia="Calibri" w:hAnsi="Calibri" w:cs="Calibri"/>
      <w:b/>
      <w:color w:val="00B050"/>
      <w:sz w:val="40"/>
    </w:rPr>
  </w:style>
  <w:style w:type="paragraph" w:styleId="Nadpis2">
    <w:name w:val="heading 2"/>
    <w:next w:val="Normln"/>
    <w:link w:val="Nadpis2Char"/>
    <w:uiPriority w:val="9"/>
    <w:unhideWhenUsed/>
    <w:qFormat/>
    <w:pPr>
      <w:keepNext/>
      <w:keepLines/>
      <w:spacing w:after="82" w:line="259" w:lineRule="auto"/>
      <w:ind w:left="10" w:hanging="10"/>
      <w:outlineLvl w:val="1"/>
    </w:pPr>
    <w:rPr>
      <w:rFonts w:ascii="Calibri" w:eastAsia="Calibri" w:hAnsi="Calibri" w:cs="Calibri"/>
      <w:b/>
      <w:color w:val="000000"/>
    </w:rPr>
  </w:style>
  <w:style w:type="paragraph" w:styleId="Nadpis3">
    <w:name w:val="heading 3"/>
    <w:next w:val="Normln"/>
    <w:link w:val="Nadpis3Char"/>
    <w:uiPriority w:val="9"/>
    <w:unhideWhenUsed/>
    <w:qFormat/>
    <w:pPr>
      <w:keepNext/>
      <w:keepLines/>
      <w:spacing w:after="17" w:line="259" w:lineRule="auto"/>
      <w:outlineLvl w:val="2"/>
    </w:pPr>
    <w:rPr>
      <w:rFonts w:ascii="Calibri" w:eastAsia="Calibri" w:hAnsi="Calibri" w:cs="Calibri"/>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000000"/>
      <w:sz w:val="24"/>
      <w:u w:val="single" w:color="000000"/>
    </w:rPr>
  </w:style>
  <w:style w:type="character" w:customStyle="1" w:styleId="Nadpis1Char">
    <w:name w:val="Nadpis 1 Char"/>
    <w:link w:val="Nadpis1"/>
    <w:rPr>
      <w:rFonts w:ascii="Calibri" w:eastAsia="Calibri" w:hAnsi="Calibri" w:cs="Calibri"/>
      <w:b/>
      <w:color w:val="00B05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860</Words>
  <Characters>5078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PCreditelna Sekretariat</cp:lastModifiedBy>
  <cp:revision>6</cp:revision>
  <dcterms:created xsi:type="dcterms:W3CDTF">2026-05-18T07:00:00Z</dcterms:created>
  <dcterms:modified xsi:type="dcterms:W3CDTF">2026-05-18T10:30:00Z</dcterms:modified>
</cp:coreProperties>
</file>